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caps w:val="0"/>
          <w:color w:val="333333"/>
          <w:spacing w:val="0"/>
          <w:sz w:val="24"/>
          <w:szCs w:val="24"/>
        </w:rPr>
      </w:pPr>
      <w:r>
        <w:rPr>
          <w:rFonts w:ascii="宋体" w:hAnsi="宋体" w:eastAsia="宋体" w:cs="宋体"/>
          <w:b/>
          <w:i w:val="0"/>
          <w:caps w:val="0"/>
          <w:color w:val="333333"/>
          <w:spacing w:val="0"/>
          <w:sz w:val="18"/>
          <w:szCs w:val="18"/>
          <w:bdr w:val="none" w:color="auto" w:sz="0" w:space="0"/>
          <w:shd w:val="clear" w:fill="FFFFFF"/>
        </w:rPr>
        <w:t>一、</w:t>
      </w:r>
      <w:bookmarkStart w:id="0" w:name="_GoBack"/>
      <w:r>
        <w:rPr>
          <w:rFonts w:ascii="宋体" w:hAnsi="宋体" w:eastAsia="宋体" w:cs="宋体"/>
          <w:b/>
          <w:i w:val="0"/>
          <w:caps w:val="0"/>
          <w:color w:val="333333"/>
          <w:spacing w:val="0"/>
          <w:sz w:val="18"/>
          <w:szCs w:val="18"/>
          <w:bdr w:val="none" w:color="auto" w:sz="0" w:space="0"/>
          <w:shd w:val="clear" w:fill="FFFFFF"/>
        </w:rPr>
        <w:t>岗位及拟录用情况</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18"/>
          <w:szCs w:val="18"/>
          <w:bdr w:val="none" w:color="auto" w:sz="0" w:space="0"/>
          <w:shd w:val="clear" w:fill="FFFFFF"/>
        </w:rPr>
        <w:t>    （一）招聘岗位：2016年我市市直高中、农村中小学、特教学校和示范幼儿园（简称中小学、幼儿园，下同）教师招聘岗位数为336人，其中市直高中教师招聘岗位38人，农村初中教师招聘岗位30人，农村村小教师岗位244人（含特岗教师50人）,特教学校教师岗位4人，示范幼儿教师岗位20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18"/>
          <w:szCs w:val="18"/>
          <w:bdr w:val="none" w:color="auto" w:sz="0" w:space="0"/>
          <w:shd w:val="clear" w:fill="FFFFFF"/>
        </w:rPr>
        <w:t>    （二）未达面试比例岗位拟录情况：根据《江西省2016年中小学（特岗）教师招聘调剂入闱人员名单及面试有关事项公告》中“对于参加面试人数达不到规定比例的岗位，招聘单位可以根据考生的面试成绩决定是否调减该岗位的招聘人数或取消招聘” 的文件精神和我市教师较为紧缺的现状，拟采取以下录用办法：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18"/>
          <w:szCs w:val="18"/>
          <w:bdr w:val="none" w:color="auto" w:sz="0" w:space="0"/>
          <w:shd w:val="clear" w:fill="FFFFFF"/>
        </w:rPr>
        <w:t>1、面试人数（入闱人数）与招聘计划数之比大于或等于2时，按实际招聘计划数录用；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bl>
      <w:tblPr>
        <w:tblW w:w="0" w:type="auto"/>
        <w:tblCellSpacing w:w="15" w:type="dxa"/>
        <w:tblInd w:w="0"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Layout w:type="autofit"/>
        <w:tblCellMar>
          <w:top w:w="15" w:type="dxa"/>
          <w:left w:w="15" w:type="dxa"/>
          <w:bottom w:w="15" w:type="dxa"/>
          <w:right w:w="15" w:type="dxa"/>
        </w:tblCellMar>
      </w:tblPr>
      <w:tblGrid>
        <w:gridCol w:w="1185"/>
        <w:gridCol w:w="1183"/>
        <w:gridCol w:w="1479"/>
        <w:gridCol w:w="797"/>
        <w:gridCol w:w="784"/>
        <w:gridCol w:w="874"/>
        <w:gridCol w:w="1054"/>
        <w:gridCol w:w="1070"/>
      </w:tblGrid>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15" w:type="dxa"/>
            <w:left w:w="15" w:type="dxa"/>
            <w:bottom w:w="15" w:type="dxa"/>
            <w:right w:w="15" w:type="dxa"/>
          </w:tblCellMar>
        </w:tblPrEx>
        <w:trPr>
          <w:tblCellSpacing w:w="15" w:type="dxa"/>
        </w:trPr>
        <w:tc>
          <w:tcPr>
            <w:tcW w:w="129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招聘学校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全称</w:t>
            </w:r>
          </w:p>
        </w:tc>
        <w:tc>
          <w:tcPr>
            <w:tcW w:w="13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招聘岗位</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岗位代码</w:t>
            </w:r>
          </w:p>
        </w:tc>
        <w:tc>
          <w:tcPr>
            <w:tcW w:w="8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人数</w:t>
            </w:r>
          </w:p>
        </w:tc>
        <w:tc>
          <w:tcPr>
            <w:tcW w:w="8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按比例应入围人数</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入闱</w:t>
            </w:r>
            <w:r>
              <w:rPr>
                <w:rFonts w:ascii="仿宋" w:hAnsi="仿宋" w:eastAsia="仿宋" w:cs="仿宋"/>
                <w:b/>
                <w:kern w:val="0"/>
                <w:sz w:val="18"/>
                <w:szCs w:val="18"/>
                <w:bdr w:val="none" w:color="auto" w:sz="0" w:space="0"/>
                <w:lang w:val="en-US" w:eastAsia="zh-CN" w:bidi="ar"/>
              </w:rPr>
              <w:br w:type="textWrapping"/>
            </w:r>
            <w:r>
              <w:rPr>
                <w:rFonts w:ascii="宋体" w:hAnsi="宋体" w:eastAsia="宋体" w:cs="宋体"/>
                <w:b/>
                <w:kern w:val="0"/>
                <w:sz w:val="18"/>
                <w:szCs w:val="18"/>
                <w:bdr w:val="none" w:color="auto" w:sz="0" w:space="0"/>
                <w:lang w:val="en-US" w:eastAsia="zh-CN" w:bidi="ar"/>
              </w:rPr>
              <w:t>人数</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入闱人数与招聘计划比例</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计划录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用人数</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tblCellMar>
            <w:top w:w="15" w:type="dxa"/>
            <w:left w:w="15" w:type="dxa"/>
            <w:bottom w:w="15" w:type="dxa"/>
            <w:right w:w="15" w:type="dxa"/>
          </w:tblCellMar>
        </w:tblPrEx>
        <w:trPr>
          <w:tblCellSpacing w:w="15" w:type="dxa"/>
        </w:trPr>
        <w:tc>
          <w:tcPr>
            <w:tcW w:w="129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市直高中</w:t>
            </w:r>
          </w:p>
        </w:tc>
        <w:tc>
          <w:tcPr>
            <w:tcW w:w="13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高中 物理</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22013000306004</w:t>
            </w:r>
          </w:p>
        </w:tc>
        <w:tc>
          <w:tcPr>
            <w:tcW w:w="8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w:t>
            </w:r>
          </w:p>
        </w:tc>
        <w:tc>
          <w:tcPr>
            <w:tcW w:w="8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6</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5</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&gt;2</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15" w:type="dxa"/>
            <w:left w:w="15" w:type="dxa"/>
            <w:bottom w:w="15" w:type="dxa"/>
            <w:right w:w="15" w:type="dxa"/>
          </w:tblCellMar>
        </w:tblPrEx>
        <w:trPr>
          <w:tblCellSpacing w:w="15" w:type="dxa"/>
        </w:trPr>
        <w:tc>
          <w:tcPr>
            <w:tcW w:w="129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农村边远乡镇初中</w:t>
            </w:r>
          </w:p>
        </w:tc>
        <w:tc>
          <w:tcPr>
            <w:tcW w:w="13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初中 数学</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22013000202025</w:t>
            </w:r>
          </w:p>
        </w:tc>
        <w:tc>
          <w:tcPr>
            <w:tcW w:w="8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4</w:t>
            </w:r>
          </w:p>
        </w:tc>
        <w:tc>
          <w:tcPr>
            <w:tcW w:w="8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12</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11</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&gt;2</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4</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15" w:type="dxa"/>
            <w:left w:w="15" w:type="dxa"/>
            <w:bottom w:w="15" w:type="dxa"/>
            <w:right w:w="15" w:type="dxa"/>
          </w:tblCellMar>
        </w:tblPrEx>
        <w:trPr>
          <w:tblCellSpacing w:w="15" w:type="dxa"/>
        </w:trPr>
        <w:tc>
          <w:tcPr>
            <w:tcW w:w="129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农村边远乡镇初中</w:t>
            </w:r>
          </w:p>
        </w:tc>
        <w:tc>
          <w:tcPr>
            <w:tcW w:w="13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初中 美术</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22013000210030</w:t>
            </w:r>
          </w:p>
        </w:tc>
        <w:tc>
          <w:tcPr>
            <w:tcW w:w="8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8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15" w:type="dxa"/>
            <w:left w:w="15" w:type="dxa"/>
            <w:bottom w:w="15" w:type="dxa"/>
            <w:right w:w="15" w:type="dxa"/>
          </w:tblCellMar>
        </w:tblPrEx>
        <w:trPr>
          <w:tblCellSpacing w:w="15" w:type="dxa"/>
        </w:trPr>
        <w:tc>
          <w:tcPr>
            <w:tcW w:w="129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农村乡镇村小</w:t>
            </w:r>
          </w:p>
        </w:tc>
        <w:tc>
          <w:tcPr>
            <w:tcW w:w="13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小学 音乐</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22013000109035</w:t>
            </w:r>
          </w:p>
        </w:tc>
        <w:tc>
          <w:tcPr>
            <w:tcW w:w="8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9</w:t>
            </w:r>
          </w:p>
        </w:tc>
        <w:tc>
          <w:tcPr>
            <w:tcW w:w="84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23</w:t>
            </w:r>
          </w:p>
        </w:tc>
        <w:tc>
          <w:tcPr>
            <w:tcW w:w="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19</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&gt;2</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Fonts w:ascii="宋体" w:hAnsi="宋体" w:eastAsia="宋体" w:cs="宋体"/>
          <w:i w:val="0"/>
          <w:caps w:val="0"/>
          <w:color w:val="333333"/>
          <w:spacing w:val="0"/>
          <w:kern w:val="0"/>
          <w:sz w:val="18"/>
          <w:szCs w:val="18"/>
          <w:bdr w:val="none" w:color="auto" w:sz="0" w:space="0"/>
          <w:shd w:val="clear" w:fill="FFFFFF"/>
          <w:lang w:val="en-US" w:eastAsia="zh-CN" w:bidi="ar"/>
        </w:rPr>
        <w:t>2、面试人数（入闱人数）与招聘计划数之比大于1且小于2时，如果考生面试成绩不低于60分，就按实际招聘计划数录用，否则不予录用；</w:t>
      </w:r>
    </w:p>
    <w:tbl>
      <w:tblPr>
        <w:tblW w:w="0" w:type="auto"/>
        <w:tblCellSpacing w:w="1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989"/>
        <w:gridCol w:w="1021"/>
        <w:gridCol w:w="1471"/>
        <w:gridCol w:w="974"/>
        <w:gridCol w:w="974"/>
        <w:gridCol w:w="975"/>
        <w:gridCol w:w="975"/>
        <w:gridCol w:w="10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招聘学校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全称</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招聘岗位</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岗位代码</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人数</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按比例应入围人数</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入闱</w:t>
            </w:r>
            <w:r>
              <w:rPr>
                <w:rFonts w:hint="eastAsia" w:ascii="仿宋" w:hAnsi="仿宋" w:eastAsia="仿宋" w:cs="仿宋"/>
                <w:b/>
                <w:kern w:val="0"/>
                <w:sz w:val="18"/>
                <w:szCs w:val="18"/>
                <w:bdr w:val="none" w:color="auto" w:sz="0" w:space="0"/>
                <w:lang w:val="en-US" w:eastAsia="zh-CN" w:bidi="ar"/>
              </w:rPr>
              <w:br w:type="textWrapping"/>
            </w:r>
            <w:r>
              <w:rPr>
                <w:rFonts w:ascii="宋体" w:hAnsi="宋体" w:eastAsia="宋体" w:cs="宋体"/>
                <w:b/>
                <w:kern w:val="0"/>
                <w:sz w:val="18"/>
                <w:szCs w:val="18"/>
                <w:bdr w:val="none" w:color="auto" w:sz="0" w:space="0"/>
                <w:lang w:val="en-US" w:eastAsia="zh-CN" w:bidi="ar"/>
              </w:rPr>
              <w:t>人数</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入闱人数与招聘计划比例</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计划录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用人数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农村边远乡镇初中</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初中 物理</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22013000206027</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9</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4</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大于1且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小于2</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农村边远乡镇村小</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小学 音乐</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22013000109042</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12</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24</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大于1且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小于2</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农村边远乡镇村小</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小学 综合实践活动（含信息技术）</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22013000118045</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6</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15</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8</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大于1且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小于2</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农村边远乡镇村小</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小学 美术</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3311011211005</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5</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15</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7</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大于1且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小于2</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5</w:t>
            </w:r>
            <w:r>
              <w:rPr>
                <w:rFonts w:ascii="宋体" w:hAnsi="宋体" w:eastAsia="宋体" w:cs="宋体"/>
                <w:color w:val="333333"/>
                <w:kern w:val="0"/>
                <w:sz w:val="24"/>
                <w:szCs w:val="24"/>
                <w:bdr w:val="none" w:color="auto" w:sz="0" w:space="0"/>
                <w:lang w:val="en-US" w:eastAsia="zh-CN" w:bidi="ar"/>
              </w:rPr>
              <w:t>3、面试人数（入闱人数）与招聘计划数之比小于或等于1时，如果考生面试成绩不低于60分，就按实际面试人数录用，否则不予录用。</w:t>
            </w:r>
          </w:p>
        </w:tc>
      </w:tr>
    </w:tbl>
    <w:p>
      <w:pPr>
        <w:rPr>
          <w:vanish/>
          <w:sz w:val="24"/>
          <w:szCs w:val="24"/>
        </w:rPr>
      </w:pPr>
    </w:p>
    <w:tbl>
      <w:tblPr>
        <w:tblW w:w="0" w:type="auto"/>
        <w:tblCellSpacing w:w="1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997"/>
        <w:gridCol w:w="1026"/>
        <w:gridCol w:w="1473"/>
        <w:gridCol w:w="983"/>
        <w:gridCol w:w="983"/>
        <w:gridCol w:w="983"/>
        <w:gridCol w:w="983"/>
        <w:gridCol w:w="99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招聘学校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全称</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招聘岗位</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岗位代码</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人数</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按比例应入围人数</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入闱</w:t>
            </w:r>
            <w:r>
              <w:rPr>
                <w:rFonts w:hint="eastAsia" w:ascii="仿宋" w:hAnsi="仿宋" w:eastAsia="仿宋" w:cs="仿宋"/>
                <w:b/>
                <w:kern w:val="0"/>
                <w:sz w:val="18"/>
                <w:szCs w:val="18"/>
                <w:bdr w:val="none" w:color="auto" w:sz="0" w:space="0"/>
                <w:lang w:val="en-US" w:eastAsia="zh-CN" w:bidi="ar"/>
              </w:rPr>
              <w:br w:type="textWrapping"/>
            </w:r>
            <w:r>
              <w:rPr>
                <w:rFonts w:ascii="宋体" w:hAnsi="宋体" w:eastAsia="宋体" w:cs="宋体"/>
                <w:b/>
                <w:kern w:val="0"/>
                <w:sz w:val="18"/>
                <w:szCs w:val="18"/>
                <w:bdr w:val="none" w:color="auto" w:sz="0" w:space="0"/>
                <w:lang w:val="en-US" w:eastAsia="zh-CN" w:bidi="ar"/>
              </w:rPr>
              <w:t>人数</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入闱人数与招聘计划比例</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计划录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18"/>
                <w:szCs w:val="18"/>
                <w:bdr w:val="none" w:color="auto" w:sz="0" w:space="0"/>
                <w:lang w:val="en-US" w:eastAsia="zh-CN" w:bidi="ar"/>
              </w:rPr>
              <w:t>用人数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农村乡镇初中</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初中 数学</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22013000202015</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农村乡镇初中</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初中 体育与健康</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22013000213023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农村边远乡镇初中</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初中 化学</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22013000207028</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6</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农村边远乡镇初中</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初中 地理</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22013000205029</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农村边远乡镇村小</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小学 体育</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22013000112043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12</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24</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9</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&lt;1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农村边远乡镇村小</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小学 音乐</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3311011210903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9</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&lt;1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农村边远乡镇村小</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小学 体育</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3311011211205</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5</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15</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&lt;1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农村边远乡镇村小</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小学 综合实践活动（含信息技术）</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3311011211803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9</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&lt;1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农村乡镇初中</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初中 音乐</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22013000209022</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0</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&lt;1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blCellSpacing w:w="15" w:type="dxa"/>
        </w:trPr>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农村边远乡镇初中</w:t>
            </w:r>
          </w:p>
        </w:tc>
        <w:tc>
          <w:tcPr>
            <w:tcW w:w="11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初中 综合实践活动（含信息技术）</w:t>
            </w:r>
          </w:p>
        </w:tc>
        <w:tc>
          <w:tcPr>
            <w:tcW w:w="147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22013000218031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3</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0</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&lt;1</w:t>
            </w:r>
          </w:p>
        </w:tc>
        <w:tc>
          <w:tcPr>
            <w:tcW w:w="111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18"/>
                <w:szCs w:val="18"/>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i w:val="0"/>
          <w:caps w:val="0"/>
          <w:color w:val="333333"/>
          <w:spacing w:val="0"/>
          <w:kern w:val="0"/>
          <w:sz w:val="18"/>
          <w:szCs w:val="18"/>
          <w:bdr w:val="none" w:color="auto" w:sz="0" w:space="0"/>
          <w:shd w:val="clear" w:fill="FFFFFF"/>
          <w:lang w:val="en-US" w:eastAsia="zh-CN" w:bidi="ar"/>
        </w:rPr>
        <w:t>（三）聘用递补（补报）情况：1、省考：聘用人员在年内（截止到当年12月31日）单方面解除聘用合同或自动离职的，招聘单位可从报考该岗位未聘人员中从高分到低分递补一次，按程序办理聘用相关手续。2、特岗：根据省教育厅、人社厅《关于印发&lt;江西省实施“农村义务教育阶段学校教师特设岗位计划”招聘办法&gt;的通知》(赣教师字〔2010〕15号)精神，经面试确定拟聘人员后，如仍有岗位空缺，将公开在网上接受补报，补报对象为参加了全省中小学教师招聘相应层次和学科考试、符合特岗教师招聘条件的人员。补报公告详见“江西省大学生就业人才网（www.jxjob.ne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40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2021-01-16T02:43:02Z</dcterms:created>
  <dc:creator>Administrator</dc:creator>
  <cp:lastModifiedBy>Administrator</cp:lastModifiedBy>
  <dcterms:modified xsi:type="dcterms:W3CDTF">2021-01-16T02:43:19Z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